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2CA" w:rsidRPr="006B7923" w:rsidRDefault="006B7923" w:rsidP="006B7923">
      <w:pPr>
        <w:spacing w:after="0"/>
        <w:rPr>
          <w:color w:val="548DD4" w:themeColor="text2" w:themeTint="99"/>
          <w:sz w:val="96"/>
          <w:szCs w:val="96"/>
        </w:rPr>
      </w:pPr>
      <w:r w:rsidRPr="006B7923">
        <w:rPr>
          <w:noProof/>
          <w:color w:val="548DD4" w:themeColor="text2" w:themeTint="99"/>
          <w:sz w:val="96"/>
          <w:szCs w:val="96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3015615</wp:posOffset>
            </wp:positionH>
            <wp:positionV relativeFrom="paragraph">
              <wp:posOffset>-146685</wp:posOffset>
            </wp:positionV>
            <wp:extent cx="2581275" cy="1466850"/>
            <wp:effectExtent l="19050" t="0" r="9525" b="0"/>
            <wp:wrapTight wrapText="bothSides">
              <wp:wrapPolygon edited="0">
                <wp:start x="-159" y="0"/>
                <wp:lineTo x="-159" y="21319"/>
                <wp:lineTo x="21680" y="21319"/>
                <wp:lineTo x="21680" y="0"/>
                <wp:lineTo x="-159" y="0"/>
              </wp:wrapPolygon>
            </wp:wrapTight>
            <wp:docPr id="2" name="Рисунок 1" descr="bi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g3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B7923">
        <w:rPr>
          <w:color w:val="548DD4" w:themeColor="text2" w:themeTint="99"/>
          <w:sz w:val="96"/>
          <w:szCs w:val="96"/>
        </w:rPr>
        <w:t>MYOBRACE</w:t>
      </w:r>
    </w:p>
    <w:p w:rsidR="006B7923" w:rsidRDefault="006B7923" w:rsidP="006B7923">
      <w:pPr>
        <w:spacing w:after="0"/>
      </w:pPr>
      <w:r w:rsidRPr="006B7923">
        <w:t xml:space="preserve">Новые </w:t>
      </w:r>
      <w:proofErr w:type="spellStart"/>
      <w:r w:rsidRPr="006B7923">
        <w:t>ортодонтические</w:t>
      </w:r>
      <w:proofErr w:type="spellEnd"/>
      <w:r w:rsidRPr="006B7923">
        <w:t xml:space="preserve"> аппараты серии «</w:t>
      </w:r>
      <w:proofErr w:type="spellStart"/>
      <w:r w:rsidRPr="006B7923">
        <w:t>Миобрэйс</w:t>
      </w:r>
      <w:proofErr w:type="spellEnd"/>
      <w:r w:rsidRPr="006B7923">
        <w:t>» двухслойной конструкции совмещают в себе преимущества мягкого гибкого силикона, формирующего наружный слой, и жёсткого внутреннего слоя, образующего упругий каркас, который стимулирует рост и расширение зубной дуги пациента. Данные аппараты можно также рекомендовать к использованию в период ретенции при коррекции скученности зубов во фронтальном отделе.</w:t>
      </w:r>
    </w:p>
    <w:p w:rsidR="006B7923" w:rsidRDefault="006B7923" w:rsidP="006B7923">
      <w:pPr>
        <w:spacing w:after="0"/>
      </w:pPr>
      <w:r>
        <w:t>Отличный выравнивающий эффект обеспечивается за счёт высокой упругости внутреннего полиуретанового слоя аппарата. И в то же время аппараты серии «</w:t>
      </w:r>
      <w:proofErr w:type="spellStart"/>
      <w:r>
        <w:t>Миобрэйс</w:t>
      </w:r>
      <w:proofErr w:type="spellEnd"/>
      <w:r>
        <w:t xml:space="preserve">» максимально комфортны для пациента, благодаря гибкому силиконовому внешнему слою, не раздражающему дёсны и слизистую рта. </w:t>
      </w:r>
    </w:p>
    <w:p w:rsidR="006B7923" w:rsidRDefault="006B7923" w:rsidP="006B7923">
      <w:pPr>
        <w:spacing w:after="0"/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1270</wp:posOffset>
            </wp:positionV>
            <wp:extent cx="2581275" cy="1466850"/>
            <wp:effectExtent l="19050" t="0" r="9525" b="0"/>
            <wp:wrapTight wrapText="bothSides">
              <wp:wrapPolygon edited="0">
                <wp:start x="-159" y="0"/>
                <wp:lineTo x="-159" y="21319"/>
                <wp:lineTo x="21680" y="21319"/>
                <wp:lineTo x="21680" y="0"/>
                <wp:lineTo x="-159" y="0"/>
              </wp:wrapPolygon>
            </wp:wrapTight>
            <wp:docPr id="1" name="Рисунок 0" descr="bi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g2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1 - DYNAMICORE - упругий внутренний каркас </w:t>
      </w:r>
    </w:p>
    <w:p w:rsidR="006B7923" w:rsidRDefault="006B7923" w:rsidP="006B7923">
      <w:pPr>
        <w:spacing w:after="0"/>
      </w:pPr>
      <w:r>
        <w:t xml:space="preserve"> 2 - ячейки для фронтальных зубов </w:t>
      </w:r>
    </w:p>
    <w:p w:rsidR="006B7923" w:rsidRDefault="006B7923" w:rsidP="006B7923">
      <w:pPr>
        <w:spacing w:after="0"/>
      </w:pPr>
      <w:r>
        <w:t xml:space="preserve"> 3 - язычок для постановки языка </w:t>
      </w:r>
    </w:p>
    <w:p w:rsidR="006B7923" w:rsidRDefault="006B7923" w:rsidP="006B7923">
      <w:pPr>
        <w:spacing w:after="0"/>
      </w:pPr>
      <w:r>
        <w:t xml:space="preserve"> 4 - губной бампер </w:t>
      </w:r>
    </w:p>
    <w:p w:rsidR="006B7923" w:rsidRDefault="006B7923" w:rsidP="006B7923">
      <w:pPr>
        <w:spacing w:after="0"/>
      </w:pPr>
      <w:r>
        <w:t xml:space="preserve"> 5 - ограничитель положения языка </w:t>
      </w:r>
    </w:p>
    <w:p w:rsidR="006B7923" w:rsidRDefault="006B7923" w:rsidP="006B7923">
      <w:pPr>
        <w:spacing w:after="0"/>
      </w:pPr>
      <w:r>
        <w:t xml:space="preserve">Данный аппарат идеален для лечения пациентов, не желающих по тем или иным причинам носить несъёмную </w:t>
      </w:r>
      <w:proofErr w:type="spellStart"/>
      <w:r>
        <w:t>ортодонтическую</w:t>
      </w:r>
      <w:proofErr w:type="spellEnd"/>
      <w:r>
        <w:t xml:space="preserve"> аппаратуру. Стимулирующее и поддерживающее действие аппарата направленно на развитие и расширение зубной дуги, что значительно снижает необходимость использования несъёмной аппаратуры. Кроме того, данная система может использоваться в качестве </w:t>
      </w:r>
      <w:proofErr w:type="spellStart"/>
      <w:proofErr w:type="gramStart"/>
      <w:r>
        <w:t>пре-финишера</w:t>
      </w:r>
      <w:proofErr w:type="spellEnd"/>
      <w:proofErr w:type="gramEnd"/>
      <w:r>
        <w:t xml:space="preserve"> или </w:t>
      </w:r>
      <w:proofErr w:type="spellStart"/>
      <w:r>
        <w:t>ретейнера</w:t>
      </w:r>
      <w:proofErr w:type="spellEnd"/>
      <w:r>
        <w:t xml:space="preserve"> после снятия </w:t>
      </w:r>
      <w:proofErr w:type="spellStart"/>
      <w:r>
        <w:t>брекетов</w:t>
      </w:r>
      <w:proofErr w:type="spellEnd"/>
      <w:r>
        <w:t xml:space="preserve">, а также для коррекции любых </w:t>
      </w:r>
      <w:proofErr w:type="spellStart"/>
      <w:r>
        <w:t>дизокклюзий</w:t>
      </w:r>
      <w:proofErr w:type="spellEnd"/>
      <w:r>
        <w:t>, требующих интенсивного расширения зубных дуг.</w:t>
      </w:r>
    </w:p>
    <w:p w:rsidR="006B7923" w:rsidRDefault="006B7923" w:rsidP="006B7923">
      <w:pPr>
        <w:spacing w:after="0"/>
      </w:pPr>
      <w:r>
        <w:t>При использовании аппаратов серии «</w:t>
      </w:r>
      <w:proofErr w:type="spellStart"/>
      <w:r>
        <w:t>Миобрэйс</w:t>
      </w:r>
      <w:proofErr w:type="spellEnd"/>
      <w:r>
        <w:t xml:space="preserve">» максимальный эффект выравнивания достигается во фронтальном отделе, при этом обеспечивается необходимое пространство для прорезывающихся клыков и идеально корректируется центральная линия. </w:t>
      </w:r>
    </w:p>
    <w:p w:rsidR="006B7923" w:rsidRDefault="006B7923" w:rsidP="006B7923">
      <w:pPr>
        <w:spacing w:after="0"/>
      </w:pPr>
      <w:r>
        <w:t xml:space="preserve">Рекомендуемый режим ношения: </w:t>
      </w:r>
    </w:p>
    <w:p w:rsidR="006B7923" w:rsidRDefault="006B7923" w:rsidP="006B7923">
      <w:pPr>
        <w:spacing w:after="0"/>
      </w:pPr>
      <w:r>
        <w:t xml:space="preserve">ОДИН ЧАС ДНЁМ И НА ПРОТЯЖЕНИИ ВСЕЙ НОЧИ </w:t>
      </w:r>
    </w:p>
    <w:p w:rsidR="006B7923" w:rsidRDefault="006B7923" w:rsidP="006B7923">
      <w:pPr>
        <w:spacing w:after="0"/>
      </w:pPr>
      <w:r>
        <w:t>Система «</w:t>
      </w:r>
      <w:proofErr w:type="spellStart"/>
      <w:r>
        <w:t>Миобрэйс</w:t>
      </w:r>
      <w:proofErr w:type="spellEnd"/>
      <w:r>
        <w:t xml:space="preserve">» разработана специально для коррекции скученности зубов во фронтальном отделе при дефиците места не более 4-6 мм и сагиттальной </w:t>
      </w:r>
      <w:proofErr w:type="gramStart"/>
      <w:r>
        <w:t>щели</w:t>
      </w:r>
      <w:proofErr w:type="gramEnd"/>
      <w:r>
        <w:t xml:space="preserve"> не превышающей 5 мм. Если сагиттальная щель превышает 5 мм, а также </w:t>
      </w:r>
      <w:proofErr w:type="gramStart"/>
      <w:r>
        <w:t>при</w:t>
      </w:r>
      <w:proofErr w:type="gramEnd"/>
      <w:r>
        <w:t xml:space="preserve"> выраженной </w:t>
      </w:r>
      <w:proofErr w:type="spellStart"/>
      <w:r>
        <w:t>ретрузии</w:t>
      </w:r>
      <w:proofErr w:type="spellEnd"/>
      <w:r>
        <w:t xml:space="preserve"> лечение по показаниям рекомендуется начинать с системы «</w:t>
      </w:r>
      <w:proofErr w:type="spellStart"/>
      <w:r>
        <w:t>Миобрэйс-Стартер</w:t>
      </w:r>
      <w:proofErr w:type="spellEnd"/>
      <w:r>
        <w:t xml:space="preserve">» (MBS), разработанной специально для таких случаев. </w:t>
      </w:r>
    </w:p>
    <w:sectPr w:rsidR="006B7923" w:rsidSect="006B7923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7923"/>
    <w:rsid w:val="001F36D7"/>
    <w:rsid w:val="005E42CA"/>
    <w:rsid w:val="006B7923"/>
    <w:rsid w:val="00927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2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7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79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2DCE7-77A3-4E76-9BD2-3A9963A6A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303</Words>
  <Characters>1732</Characters>
  <Application>Microsoft Office Word</Application>
  <DocSecurity>0</DocSecurity>
  <Lines>14</Lines>
  <Paragraphs>4</Paragraphs>
  <ScaleCrop>false</ScaleCrop>
  <Company>Microsoft</Company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2011-10-21T17:23:00Z</dcterms:created>
  <dcterms:modified xsi:type="dcterms:W3CDTF">2011-10-21T17:32:00Z</dcterms:modified>
</cp:coreProperties>
</file>